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4394"/>
      </w:tblGrid>
      <w:tr w:rsidR="005108AE" w:rsidTr="004C2B68">
        <w:tc>
          <w:tcPr>
            <w:tcW w:w="1980" w:type="dxa"/>
          </w:tcPr>
          <w:p w:rsidR="00DE30EA" w:rsidRPr="002D5698" w:rsidRDefault="002D569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D569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DE30EA" w:rsidRPr="002D5698" w:rsidRDefault="002D56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698">
              <w:rPr>
                <w:rFonts w:ascii="Arial" w:hAnsi="Arial" w:cs="Arial"/>
                <w:b/>
                <w:sz w:val="24"/>
                <w:szCs w:val="24"/>
              </w:rPr>
              <w:t>Complainant</w:t>
            </w:r>
          </w:p>
        </w:tc>
        <w:tc>
          <w:tcPr>
            <w:tcW w:w="5103" w:type="dxa"/>
          </w:tcPr>
          <w:p w:rsidR="00DE30EA" w:rsidRPr="002D5698" w:rsidRDefault="002D5698" w:rsidP="00F07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698">
              <w:rPr>
                <w:rFonts w:ascii="Arial" w:hAnsi="Arial" w:cs="Arial"/>
                <w:b/>
                <w:sz w:val="24"/>
                <w:szCs w:val="24"/>
              </w:rPr>
              <w:t>Summary of allegation</w:t>
            </w:r>
          </w:p>
        </w:tc>
        <w:tc>
          <w:tcPr>
            <w:tcW w:w="4394" w:type="dxa"/>
          </w:tcPr>
          <w:p w:rsidR="00DE30EA" w:rsidRDefault="002D56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698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  <w:p w:rsidR="003D36D1" w:rsidRPr="002D5698" w:rsidRDefault="002D56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8AE" w:rsidTr="004C2B68">
        <w:tc>
          <w:tcPr>
            <w:tcW w:w="1980" w:type="dxa"/>
          </w:tcPr>
          <w:p w:rsidR="00BF0882" w:rsidRPr="002D5698" w:rsidRDefault="002D5698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Feb 2020</w:t>
            </w:r>
          </w:p>
        </w:tc>
        <w:tc>
          <w:tcPr>
            <w:tcW w:w="2268" w:type="dxa"/>
          </w:tcPr>
          <w:p w:rsidR="00BF088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tcW w:w="5103" w:type="dxa"/>
          </w:tcPr>
          <w:p w:rsidR="00BF0882" w:rsidRPr="002D5698" w:rsidRDefault="002D5698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Breach of information governance rules.</w:t>
            </w:r>
          </w:p>
        </w:tc>
        <w:tc>
          <w:tcPr>
            <w:tcW w:w="4394" w:type="dxa"/>
          </w:tcPr>
          <w:p w:rsidR="003D36D1" w:rsidRDefault="002D5698" w:rsidP="007830B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No breach. The officer's name was left on an email that was posted on social media.</w:t>
            </w:r>
            <w:r w:rsidRPr="002D5698">
              <w:rPr>
                <w:rFonts w:ascii="Arial" w:hAnsi="Arial" w:cs="Arial"/>
                <w:sz w:val="24"/>
                <w:szCs w:val="24"/>
              </w:rPr>
              <w:t xml:space="preserve"> The message contained no criticism of the officer, and was left on by mistake. Training offered to all councillors on information governance.</w:t>
            </w:r>
          </w:p>
          <w:p w:rsidR="00BF0882" w:rsidRPr="002D5698" w:rsidRDefault="002D5698" w:rsidP="007830B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8AE" w:rsidTr="004C2B68">
        <w:tc>
          <w:tcPr>
            <w:tcW w:w="1980" w:type="dxa"/>
          </w:tcPr>
          <w:p w:rsidR="00191F0B" w:rsidRPr="002D5698" w:rsidRDefault="002D5698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April 2020</w:t>
            </w:r>
          </w:p>
        </w:tc>
        <w:tc>
          <w:tcPr>
            <w:tcW w:w="2268" w:type="dxa"/>
          </w:tcPr>
          <w:p w:rsidR="00191F0B" w:rsidRPr="002D5698" w:rsidRDefault="002D5698" w:rsidP="007830B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Member of the public (former Councillor)</w:t>
            </w:r>
          </w:p>
        </w:tc>
        <w:tc>
          <w:tcPr>
            <w:tcW w:w="5103" w:type="dxa"/>
          </w:tcPr>
          <w:p w:rsidR="00191F0B" w:rsidRPr="002D5698" w:rsidRDefault="002D5698" w:rsidP="007830B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Failure to show respect in comments made in media &amp; subseq</w:t>
            </w:r>
            <w:r w:rsidRPr="002D5698">
              <w:rPr>
                <w:rFonts w:ascii="Arial" w:hAnsi="Arial" w:cs="Arial"/>
                <w:sz w:val="24"/>
                <w:szCs w:val="24"/>
              </w:rPr>
              <w:t xml:space="preserve">uent defence of comments on social media </w:t>
            </w:r>
          </w:p>
        </w:tc>
        <w:tc>
          <w:tcPr>
            <w:tcW w:w="4394" w:type="dxa"/>
          </w:tcPr>
          <w:p w:rsidR="00191F0B" w:rsidRDefault="002D5698" w:rsidP="007830B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No breach, comments made by councillor were considered to be a reasonable expression of opinion.</w:t>
            </w:r>
          </w:p>
          <w:p w:rsidR="003D36D1" w:rsidRPr="002D5698" w:rsidRDefault="002D5698" w:rsidP="0078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AE" w:rsidTr="004C2B68">
        <w:tc>
          <w:tcPr>
            <w:tcW w:w="1980" w:type="dxa"/>
          </w:tcPr>
          <w:p w:rsidR="00DE30EA" w:rsidRDefault="002D5698" w:rsidP="007B3D02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May 2020 – 6 complaints about the same councillor on the same issue</w:t>
            </w:r>
          </w:p>
          <w:p w:rsidR="003D36D1" w:rsidRPr="002D5698" w:rsidRDefault="002D5698" w:rsidP="007B3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0EA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5103" w:type="dxa"/>
          </w:tcPr>
          <w:p w:rsidR="00DE30EA" w:rsidRPr="002D5698" w:rsidRDefault="002D5698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 xml:space="preserve">Failure to treat enquiries with </w:t>
            </w:r>
            <w:r w:rsidRPr="002D5698">
              <w:rPr>
                <w:rFonts w:ascii="Arial" w:hAnsi="Arial" w:cs="Arial"/>
                <w:sz w:val="24"/>
                <w:szCs w:val="24"/>
              </w:rPr>
              <w:t>respect</w:t>
            </w:r>
          </w:p>
        </w:tc>
        <w:tc>
          <w:tcPr>
            <w:tcW w:w="4394" w:type="dxa"/>
          </w:tcPr>
          <w:p w:rsidR="00DE30EA" w:rsidRPr="002D5698" w:rsidRDefault="002D5698" w:rsidP="004C2B68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Still under investigation</w:t>
            </w:r>
          </w:p>
        </w:tc>
      </w:tr>
      <w:tr w:rsidR="005108AE" w:rsidTr="004C2B68">
        <w:tc>
          <w:tcPr>
            <w:tcW w:w="1980" w:type="dxa"/>
          </w:tcPr>
          <w:p w:rsidR="007B3D0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Sept 2020</w:t>
            </w:r>
          </w:p>
        </w:tc>
        <w:tc>
          <w:tcPr>
            <w:tcW w:w="2268" w:type="dxa"/>
          </w:tcPr>
          <w:p w:rsidR="007B3D0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Member of the public</w:t>
            </w:r>
          </w:p>
        </w:tc>
        <w:tc>
          <w:tcPr>
            <w:tcW w:w="5103" w:type="dxa"/>
          </w:tcPr>
          <w:p w:rsidR="007B3D0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Misleading advice re</w:t>
            </w:r>
            <w:r>
              <w:rPr>
                <w:rFonts w:ascii="Arial" w:hAnsi="Arial" w:cs="Arial"/>
                <w:sz w:val="24"/>
                <w:szCs w:val="24"/>
              </w:rPr>
              <w:t>garding</w:t>
            </w:r>
            <w:r w:rsidRPr="002D5698">
              <w:rPr>
                <w:rFonts w:ascii="Arial" w:hAnsi="Arial" w:cs="Arial"/>
                <w:sz w:val="24"/>
                <w:szCs w:val="24"/>
              </w:rPr>
              <w:t xml:space="preserve"> Covid restrictions &amp; refusal to apologise or clarify in a social media exchange</w:t>
            </w:r>
          </w:p>
        </w:tc>
        <w:tc>
          <w:tcPr>
            <w:tcW w:w="4394" w:type="dxa"/>
          </w:tcPr>
          <w:p w:rsidR="007B3D02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 xml:space="preserve">No breach. Advice provided by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D5698">
              <w:rPr>
                <w:rFonts w:ascii="Arial" w:hAnsi="Arial" w:cs="Arial"/>
                <w:sz w:val="24"/>
                <w:szCs w:val="24"/>
              </w:rPr>
              <w:t xml:space="preserve">ouncillor was open to interpretation, but not incorrect, and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D5698">
              <w:rPr>
                <w:rFonts w:ascii="Arial" w:hAnsi="Arial" w:cs="Arial"/>
                <w:sz w:val="24"/>
                <w:szCs w:val="24"/>
              </w:rPr>
              <w:t>ouncillor had spelt out explanation as part of same social media exchange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36D1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AE" w:rsidTr="004C2B68">
        <w:tc>
          <w:tcPr>
            <w:tcW w:w="1980" w:type="dxa"/>
          </w:tcPr>
          <w:p w:rsidR="007B3D0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Oct 2020</w:t>
            </w:r>
          </w:p>
        </w:tc>
        <w:tc>
          <w:tcPr>
            <w:tcW w:w="2268" w:type="dxa"/>
          </w:tcPr>
          <w:p w:rsidR="007B3D0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>District Councillor</w:t>
            </w:r>
          </w:p>
        </w:tc>
        <w:tc>
          <w:tcPr>
            <w:tcW w:w="5103" w:type="dxa"/>
          </w:tcPr>
          <w:p w:rsidR="007B3D02" w:rsidRPr="002D5698" w:rsidRDefault="002D5698" w:rsidP="00DE30EA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 xml:space="preserve">County Councillor seeking to improperly influence another councillor during a district </w:t>
            </w:r>
            <w:r w:rsidRPr="002D5698">
              <w:rPr>
                <w:rFonts w:ascii="Arial" w:hAnsi="Arial" w:cs="Arial"/>
                <w:sz w:val="24"/>
                <w:szCs w:val="24"/>
              </w:rPr>
              <w:t>council meeting</w:t>
            </w:r>
          </w:p>
        </w:tc>
        <w:tc>
          <w:tcPr>
            <w:tcW w:w="4394" w:type="dxa"/>
          </w:tcPr>
          <w:p w:rsidR="007B3D02" w:rsidRPr="002D5698" w:rsidRDefault="002D5698" w:rsidP="003D36D1">
            <w:pPr>
              <w:rPr>
                <w:rFonts w:ascii="Arial" w:hAnsi="Arial" w:cs="Arial"/>
                <w:sz w:val="24"/>
                <w:szCs w:val="24"/>
              </w:rPr>
            </w:pPr>
            <w:r w:rsidRPr="002D5698">
              <w:rPr>
                <w:rFonts w:ascii="Arial" w:hAnsi="Arial" w:cs="Arial"/>
                <w:sz w:val="24"/>
                <w:szCs w:val="24"/>
              </w:rPr>
              <w:t xml:space="preserve">Not within remit of Code –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D5698">
              <w:rPr>
                <w:rFonts w:ascii="Arial" w:hAnsi="Arial" w:cs="Arial"/>
                <w:sz w:val="24"/>
                <w:szCs w:val="24"/>
              </w:rPr>
              <w:t xml:space="preserve">ouncillor in question was dual hatted and was present at the meeting as a district councillor. Passed to relevant district council. </w:t>
            </w:r>
          </w:p>
        </w:tc>
      </w:tr>
    </w:tbl>
    <w:p w:rsidR="007337E2" w:rsidRPr="00533A20" w:rsidRDefault="002D5698">
      <w:pPr>
        <w:rPr>
          <w:rFonts w:ascii="Arial" w:hAnsi="Arial" w:cs="Arial"/>
        </w:rPr>
      </w:pPr>
    </w:p>
    <w:sectPr w:rsidR="007337E2" w:rsidRPr="00533A20" w:rsidSect="00DE3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E"/>
    <w:rsid w:val="002D5698"/>
    <w:rsid w:val="005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EB7B5-0DC9-42CD-A9A4-CA42DCD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29F2037C4A4C921C60A747924ABF" ma:contentTypeVersion="9" ma:contentTypeDescription="Create a new document." ma:contentTypeScope="" ma:versionID="1a4ae04d6c4857c786eb4f3703ba94cc">
  <xsd:schema xmlns:xsd="http://www.w3.org/2001/XMLSchema" xmlns:xs="http://www.w3.org/2001/XMLSchema" xmlns:p="http://schemas.microsoft.com/office/2006/metadata/properties" xmlns:ns3="dd252a66-e1d7-4967-b931-5786ce0a5bad" targetNamespace="http://schemas.microsoft.com/office/2006/metadata/properties" ma:root="true" ma:fieldsID="4066e6b32626310033dfd6d061b461cb" ns3:_="">
    <xsd:import namespace="dd252a66-e1d7-4967-b931-5786ce0a5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52a66-e1d7-4967-b931-5786ce0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08A67-137E-40AD-B535-6670A2D37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FF10E-BF21-4AFF-8F38-92692DB0A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52a66-e1d7-4967-b931-5786ce0a5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CC78A-2053-4B9F-A7B4-64D6F721E3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252a66-e1d7-4967-b931-5786ce0a5b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Mynott, Josh</cp:lastModifiedBy>
  <cp:revision>5</cp:revision>
  <dcterms:created xsi:type="dcterms:W3CDTF">2021-01-07T16:59:00Z</dcterms:created>
  <dcterms:modified xsi:type="dcterms:W3CDTF">2021-01-14T16:23:00Z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0x010100833129F2037C4A4C921C60A747924ABF</vt:lpwstr>
  </property>
</Properties>
</file>